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21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419"/>
        <w:gridCol w:w="2686"/>
        <w:gridCol w:w="7"/>
        <w:gridCol w:w="5528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0"/>
          <w:wBefore w:w="566" w:type="dxa"/>
          <w:wAfter w:w="6007" w:type="dxa"/>
          <w:trHeight w:val="3745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381" w:firstLineChars="850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661" w:firstLineChars="950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661" w:firstLineChars="950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МОРОЗОВСКИЙ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 ЗНАМЕНСКОГО СЕЛЬСКОГО ПОСЕЛЕНИЯ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13 октября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г.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117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    п. Знаменка</w:t>
            </w:r>
          </w:p>
          <w:p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внесении изменений в постановление Администрации Знаменского сельского поселения от 25.11.2022 №102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сельского поселения Морозовского района»</w:t>
            </w:r>
          </w:p>
          <w:p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Федерации,  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suppressAutoHyphens/>
              <w:spacing w:after="0" w:line="240" w:lineRule="auto"/>
              <w:ind w:firstLine="3701" w:firstLineChars="132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left="171" w:leftChars="0" w:firstLine="709" w:firstLineChars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Внести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в постановление Администрации Знаменского сельского поселения от 25.11.2022 №102 «Об у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твер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ждении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перечен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органов местного самоуправления Морозовского района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следующие изменения и дополнения:</w:t>
            </w:r>
          </w:p>
          <w:p>
            <w:pPr>
              <w:numPr>
                <w:ilvl w:val="1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left="880" w:leftChars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Приложение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1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изложить в следующей редакции: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                                                                 сельского  поселения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25.11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hint="default"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Знаменского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Морозовского  района - органов местного самоуправления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Морозовского района,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5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ЗНАМЕНСКОГО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1 11 05075 10 0000 120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1 16 10031 10 0000 140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1 16 10061 10 0000 140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1 16 10123 01 000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1 17 16000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сельских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поселений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2 02 15001 10 0000 150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2 02 15002 10 0000 150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2 02 29999 10 000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2 02 90054 10 0000 150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2 07 05020 10 0000 150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2 07 05030 10 0000 150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default"/>
          <w:color w:val="auto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1.2  Приложение №2 изложить в следующей редакции:</w:t>
      </w:r>
    </w:p>
    <w:tbl>
      <w:tblPr>
        <w:tblStyle w:val="5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134"/>
        <w:gridCol w:w="2693"/>
        <w:gridCol w:w="5670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284" w:type="dxa"/>
          <w:trHeight w:val="1530" w:hRule="atLeast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                                                       </w:t>
            </w: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</w:t>
            </w:r>
            <w:r>
              <w:rPr>
                <w:bCs/>
                <w:color w:val="auto"/>
                <w:sz w:val="28"/>
                <w:szCs w:val="28"/>
              </w:rPr>
              <w:t xml:space="preserve">Приложение №2 к постановлению </w:t>
            </w: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                                                              Администрации 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Знаменского</w:t>
            </w:r>
          </w:p>
          <w:p>
            <w:pPr>
              <w:pStyle w:val="9"/>
              <w:spacing w:after="0"/>
              <w:ind w:left="-250"/>
              <w:jc w:val="center"/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     сельского 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25.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ПЕРЕЧЕНЬ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Морозовского  района - органов государственной власти Российской Федерации, органов государственной власти Ростовской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главного администратора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доходов бюджета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Знаменского сельского поселения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Морозовского района,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кода вида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95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1 01 02130 01 0000 110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1 01 02140 01 0000 110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70" w:leftChars="0" w:firstLine="709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Настоящее постановление вступает в силу с момента подписания и распространяется к правоотношениям возникшим при исполнении бюджета на 2023 год (на 2023 год и на плановый период 2024 и 2025 годов) и подлежит размещению на официальном сайте Администрации Знаменского сельского поселения 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70" w:leftChars="0" w:firstLine="709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Глава Администрации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Знаменского сельского поселения                                                       С.Г. Иванов</w:t>
      </w:r>
    </w:p>
    <w:p/>
    <w:p/>
    <w:p/>
    <w:p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C836D4"/>
    <w:multiLevelType w:val="multilevel"/>
    <w:tmpl w:val="43C836D4"/>
    <w:lvl w:ilvl="0" w:tentative="0">
      <w:start w:val="1"/>
      <w:numFmt w:val="decimal"/>
      <w:suff w:val="space"/>
      <w:lvlText w:val="%1."/>
      <w:lvlJc w:val="left"/>
      <w:pPr>
        <w:ind w:left="171"/>
      </w:pPr>
      <w:rPr>
        <w:rFonts w:hint="default" w:ascii="Times New Roman" w:hAnsi="Times New Roman" w:cs="Times New Roman"/>
        <w:color w:val="auto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2F1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0C7D729B"/>
    <w:rsid w:val="0FC234EE"/>
    <w:rsid w:val="1BD32D8C"/>
    <w:rsid w:val="29AD789A"/>
    <w:rsid w:val="30574A44"/>
    <w:rsid w:val="35D04593"/>
    <w:rsid w:val="448B4CCC"/>
    <w:rsid w:val="4A8C14FD"/>
    <w:rsid w:val="50B92850"/>
    <w:rsid w:val="717C1C0E"/>
    <w:rsid w:val="754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38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3">
    <w:name w:val="heading 7"/>
    <w:basedOn w:val="1"/>
    <w:next w:val="1"/>
    <w:link w:val="41"/>
    <w:semiHidden/>
    <w:unhideWhenUsed/>
    <w:qFormat/>
    <w:locked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semiHidden/>
    <w:unhideWhenUsed/>
    <w:qFormat/>
    <w:uiPriority w:val="99"/>
    <w:rPr>
      <w:color w:val="800080"/>
      <w:u w:val="single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3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9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link w:val="40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20"/>
      <w:szCs w:val="20"/>
    </w:rPr>
  </w:style>
  <w:style w:type="paragraph" w:styleId="12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i/>
      <w:iCs/>
      <w:sz w:val="24"/>
      <w:szCs w:val="24"/>
    </w:rPr>
  </w:style>
  <w:style w:type="paragraph" w:customStyle="1" w:styleId="15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6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4">
    <w:name w:val="xl7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8"/>
      <w:szCs w:val="28"/>
    </w:rPr>
  </w:style>
  <w:style w:type="paragraph" w:customStyle="1" w:styleId="2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2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">
    <w:name w:val="xl7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3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3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character" w:customStyle="1" w:styleId="35">
    <w:name w:val="Верхний колонтитул Знак"/>
    <w:link w:val="10"/>
    <w:qFormat/>
    <w:uiPriority w:val="99"/>
    <w:rPr>
      <w:sz w:val="22"/>
      <w:szCs w:val="22"/>
    </w:rPr>
  </w:style>
  <w:style w:type="character" w:customStyle="1" w:styleId="36">
    <w:name w:val="Нижний колонтитул Знак"/>
    <w:link w:val="12"/>
    <w:qFormat/>
    <w:uiPriority w:val="99"/>
    <w:rPr>
      <w:sz w:val="22"/>
      <w:szCs w:val="22"/>
    </w:rPr>
  </w:style>
  <w:style w:type="character" w:customStyle="1" w:styleId="37">
    <w:name w:val="Текст выноски Знак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Заголовок 2 Знак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39">
    <w:name w:val="Основной текст с отступом 3 Знак"/>
    <w:link w:val="9"/>
    <w:qFormat/>
    <w:uiPriority w:val="99"/>
    <w:rPr>
      <w:rFonts w:ascii="Times New Roman" w:hAnsi="Times New Roman" w:eastAsia="Times New Roman"/>
      <w:sz w:val="16"/>
      <w:szCs w:val="16"/>
    </w:rPr>
  </w:style>
  <w:style w:type="character" w:customStyle="1" w:styleId="40">
    <w:name w:val="Основной текст с отступом Знак"/>
    <w:link w:val="11"/>
    <w:semiHidden/>
    <w:qFormat/>
    <w:uiPriority w:val="99"/>
    <w:rPr>
      <w:rFonts w:ascii="Times New Roman" w:hAnsi="Times New Roman" w:eastAsia="Times New Roman"/>
    </w:rPr>
  </w:style>
  <w:style w:type="character" w:customStyle="1" w:styleId="41">
    <w:name w:val="Заголовок 7 Знак"/>
    <w:link w:val="3"/>
    <w:semiHidden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42">
    <w:name w:val="Основной текст_"/>
    <w:link w:val="43"/>
    <w:qFormat/>
    <w:locked/>
    <w:uiPriority w:val="0"/>
    <w:rPr>
      <w:rFonts w:ascii="Times New Roman" w:hAnsi="Times New Roman" w:eastAsia="Times New Roman"/>
      <w:sz w:val="28"/>
      <w:szCs w:val="28"/>
    </w:rPr>
  </w:style>
  <w:style w:type="paragraph" w:customStyle="1" w:styleId="43">
    <w:name w:val="Основной текст1"/>
    <w:basedOn w:val="1"/>
    <w:link w:val="42"/>
    <w:qFormat/>
    <w:uiPriority w:val="0"/>
    <w:pPr>
      <w:widowControl w:val="0"/>
      <w:spacing w:after="0" w:line="240" w:lineRule="auto"/>
      <w:ind w:firstLine="400"/>
    </w:pPr>
    <w:rPr>
      <w:rFonts w:ascii="Times New Roman" w:hAnsi="Times New Roman" w:eastAsia="Times New Roman"/>
      <w:sz w:val="28"/>
      <w:szCs w:val="28"/>
    </w:rPr>
  </w:style>
  <w:style w:type="character" w:customStyle="1" w:styleId="44">
    <w:name w:val="Заголовок №1_"/>
    <w:link w:val="45"/>
    <w:qFormat/>
    <w:locked/>
    <w:uiPriority w:val="0"/>
    <w:rPr>
      <w:rFonts w:ascii="Times New Roman" w:hAnsi="Times New Roman" w:eastAsia="Times New Roman"/>
      <w:b/>
      <w:bCs/>
      <w:sz w:val="28"/>
      <w:szCs w:val="28"/>
    </w:rPr>
  </w:style>
  <w:style w:type="paragraph" w:customStyle="1" w:styleId="45">
    <w:name w:val="Заголовок №1"/>
    <w:basedOn w:val="1"/>
    <w:link w:val="44"/>
    <w:qFormat/>
    <w:uiPriority w:val="0"/>
    <w:pPr>
      <w:widowControl w:val="0"/>
      <w:spacing w:after="280" w:line="240" w:lineRule="auto"/>
      <w:jc w:val="center"/>
      <w:outlineLvl w:val="0"/>
    </w:pPr>
    <w:rPr>
      <w:rFonts w:ascii="Times New Roman" w:hAnsi="Times New Roman" w:eastAsia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176D5-A790-4F13-9330-A362EEB9C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11404</Words>
  <Characters>65004</Characters>
  <Lines>541</Lines>
  <Paragraphs>152</Paragraphs>
  <TotalTime>7</TotalTime>
  <ScaleCrop>false</ScaleCrop>
  <LinksUpToDate>false</LinksUpToDate>
  <CharactersWithSpaces>76256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2021-12-21T10:26:00Z</dcterms:created>
  <dc:creator>Красюкова Татьяна</dc:creator>
  <cp:lastModifiedBy>Пользователь</cp:lastModifiedBy>
  <cp:lastPrinted>2023-10-20T12:57:46Z</cp:lastPrinted>
  <dcterms:modified xsi:type="dcterms:W3CDTF">2023-10-20T12:58:41Z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